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986A6">
      <w:pPr>
        <w:jc w:val="center"/>
        <w:rPr>
          <w:rFonts w:hint="eastAsia" w:ascii="Times New Roman" w:hAnsi="Times New Roman" w:eastAsia="仿宋"/>
          <w:b/>
          <w:bCs w:val="0"/>
          <w:color w:val="auto"/>
          <w:sz w:val="24"/>
          <w:szCs w:val="24"/>
          <w:lang w:val="en-US" w:eastAsia="zh-CN"/>
        </w:rPr>
      </w:pPr>
      <w:bookmarkStart w:id="0" w:name="_GoBack"/>
      <w:bookmarkEnd w:id="0"/>
      <w:r>
        <w:rPr>
          <w:rFonts w:hint="eastAsia" w:ascii="Times New Roman" w:hAnsi="Times New Roman" w:eastAsia="仿宋"/>
          <w:b/>
          <w:bCs w:val="0"/>
          <w:color w:val="auto"/>
          <w:sz w:val="24"/>
          <w:szCs w:val="24"/>
          <w:lang w:val="en-US" w:eastAsia="zh-CN"/>
        </w:rPr>
        <w:t>Course Selection Feedback Form</w:t>
      </w:r>
    </w:p>
    <w:p w14:paraId="4A25AA62">
      <w:pPr>
        <w:jc w:val="center"/>
        <w:rPr>
          <w:rFonts w:hint="eastAsia" w:ascii="Times New Roman" w:hAnsi="Times New Roman" w:eastAsia="仿宋"/>
          <w:b/>
          <w:bCs w:val="0"/>
          <w:color w:val="auto"/>
          <w:lang w:val="en-US" w:eastAsia="zh-CN"/>
        </w:rPr>
      </w:pPr>
    </w:p>
    <w:tbl>
      <w:tblPr>
        <w:tblStyle w:val="15"/>
        <w:tblW w:w="9390"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1934"/>
        <w:gridCol w:w="4576"/>
        <w:gridCol w:w="1125"/>
      </w:tblGrid>
      <w:tr w14:paraId="778CD092">
        <w:tc>
          <w:tcPr>
            <w:tcW w:w="1755" w:type="dxa"/>
          </w:tcPr>
          <w:p w14:paraId="561317FE">
            <w:pPr>
              <w:rPr>
                <w:rFonts w:hint="default" w:ascii="Times New Roman" w:hAnsi="Times New Roman" w:eastAsia="仿宋"/>
                <w:bCs/>
                <w:color w:val="auto"/>
                <w:vertAlign w:val="baseline"/>
                <w:lang w:val="en-US" w:eastAsia="zh-CN"/>
              </w:rPr>
            </w:pPr>
            <w:r>
              <w:rPr>
                <w:rFonts w:hint="eastAsia" w:ascii="Times New Roman" w:hAnsi="Times New Roman" w:eastAsia="仿宋"/>
                <w:bCs/>
                <w:color w:val="auto"/>
                <w:vertAlign w:val="baseline"/>
                <w:lang w:val="en-US" w:eastAsia="zh-CN"/>
              </w:rPr>
              <w:t>University</w:t>
            </w:r>
          </w:p>
        </w:tc>
        <w:tc>
          <w:tcPr>
            <w:tcW w:w="1934" w:type="dxa"/>
          </w:tcPr>
          <w:p w14:paraId="16756547">
            <w:pPr>
              <w:rPr>
                <w:rFonts w:hint="default" w:ascii="Times New Roman" w:hAnsi="Times New Roman" w:eastAsia="仿宋"/>
                <w:bCs/>
                <w:color w:val="auto"/>
                <w:vertAlign w:val="baseline"/>
                <w:lang w:val="en-US" w:eastAsia="zh-CN"/>
              </w:rPr>
            </w:pPr>
            <w:r>
              <w:rPr>
                <w:rFonts w:hint="eastAsia" w:ascii="Times New Roman" w:hAnsi="Times New Roman" w:eastAsia="仿宋"/>
                <w:bCs/>
                <w:color w:val="auto"/>
                <w:vertAlign w:val="baseline"/>
                <w:lang w:val="en-US" w:eastAsia="zh-CN"/>
              </w:rPr>
              <w:t>Students Name</w:t>
            </w:r>
          </w:p>
        </w:tc>
        <w:tc>
          <w:tcPr>
            <w:tcW w:w="4576" w:type="dxa"/>
          </w:tcPr>
          <w:p w14:paraId="2CCC6384">
            <w:pPr>
              <w:rPr>
                <w:rFonts w:hint="default" w:ascii="Times New Roman" w:hAnsi="Times New Roman" w:eastAsia="仿宋"/>
                <w:bCs/>
                <w:color w:val="auto"/>
                <w:vertAlign w:val="baseline"/>
                <w:lang w:val="en-US" w:eastAsia="zh-CN"/>
              </w:rPr>
            </w:pPr>
            <w:r>
              <w:rPr>
                <w:rFonts w:hint="eastAsia" w:ascii="Times New Roman" w:hAnsi="Times New Roman" w:eastAsia="仿宋"/>
                <w:bCs/>
                <w:color w:val="auto"/>
                <w:vertAlign w:val="baseline"/>
                <w:lang w:val="en-US" w:eastAsia="zh-CN"/>
              </w:rPr>
              <w:t>Courses Name</w:t>
            </w:r>
          </w:p>
        </w:tc>
        <w:tc>
          <w:tcPr>
            <w:tcW w:w="1125" w:type="dxa"/>
          </w:tcPr>
          <w:p w14:paraId="0B3C70DE">
            <w:pPr>
              <w:rPr>
                <w:rFonts w:hint="eastAsia" w:ascii="Times New Roman" w:hAnsi="Times New Roman" w:eastAsia="仿宋"/>
                <w:bCs/>
                <w:color w:val="auto"/>
                <w:vertAlign w:val="baseline"/>
                <w:lang w:val="en-US" w:eastAsia="zh-CN"/>
              </w:rPr>
            </w:pPr>
            <w:r>
              <w:rPr>
                <w:rFonts w:hint="eastAsia" w:ascii="Times New Roman" w:hAnsi="Times New Roman" w:eastAsia="仿宋"/>
                <w:bCs/>
                <w:color w:val="auto"/>
                <w:vertAlign w:val="baseline"/>
                <w:lang w:val="en-US" w:eastAsia="zh-CN"/>
              </w:rPr>
              <w:t xml:space="preserve">Priority </w:t>
            </w:r>
          </w:p>
          <w:p w14:paraId="5D44F9E2">
            <w:pPr>
              <w:rPr>
                <w:rFonts w:hint="default" w:ascii="Times New Roman" w:hAnsi="Times New Roman" w:eastAsia="仿宋"/>
                <w:bCs/>
                <w:color w:val="auto"/>
                <w:vertAlign w:val="baseline"/>
                <w:lang w:val="en-US" w:eastAsia="zh-CN"/>
              </w:rPr>
            </w:pPr>
            <w:r>
              <w:rPr>
                <w:rFonts w:hint="eastAsia" w:ascii="Times New Roman" w:hAnsi="Times New Roman" w:eastAsia="仿宋"/>
                <w:bCs/>
                <w:color w:val="auto"/>
                <w:vertAlign w:val="baseline"/>
                <w:lang w:val="en-US" w:eastAsia="zh-CN"/>
              </w:rPr>
              <w:t>Sequence</w:t>
            </w:r>
          </w:p>
        </w:tc>
      </w:tr>
      <w:tr w14:paraId="5E8B422D">
        <w:trPr>
          <w:trHeight w:val="494" w:hRule="atLeast"/>
        </w:trPr>
        <w:tc>
          <w:tcPr>
            <w:tcW w:w="1755" w:type="dxa"/>
            <w:vMerge w:val="restart"/>
          </w:tcPr>
          <w:p w14:paraId="37277265">
            <w:pPr>
              <w:rPr>
                <w:rFonts w:hint="eastAsia" w:ascii="Times New Roman" w:hAnsi="Times New Roman" w:eastAsia="仿宋"/>
                <w:bCs/>
                <w:color w:val="auto"/>
                <w:vertAlign w:val="baseline"/>
                <w:lang w:val="en-US" w:eastAsia="zh-CN"/>
              </w:rPr>
            </w:pPr>
          </w:p>
        </w:tc>
        <w:tc>
          <w:tcPr>
            <w:tcW w:w="1934" w:type="dxa"/>
            <w:vMerge w:val="restart"/>
          </w:tcPr>
          <w:p w14:paraId="041C195C">
            <w:pPr>
              <w:rPr>
                <w:rFonts w:hint="eastAsia" w:ascii="Times New Roman" w:hAnsi="Times New Roman" w:eastAsia="仿宋" w:cs="Times New Roman"/>
                <w:bCs/>
                <w:color w:val="auto"/>
                <w:kern w:val="2"/>
                <w:sz w:val="21"/>
                <w:szCs w:val="21"/>
                <w:vertAlign w:val="baseline"/>
                <w:lang w:val="en-US" w:eastAsia="zh-CN" w:bidi="ar-SA"/>
                <w14:ligatures w14:val="none"/>
              </w:rPr>
            </w:pPr>
          </w:p>
        </w:tc>
        <w:tc>
          <w:tcPr>
            <w:tcW w:w="4576" w:type="dxa"/>
          </w:tcPr>
          <w:p w14:paraId="3DCD18C1">
            <w:pPr>
              <w:rPr>
                <w:rFonts w:hint="eastAsia" w:ascii="Times New Roman" w:hAnsi="Times New Roman" w:eastAsia="仿宋" w:cs="Times New Roman"/>
                <w:bCs/>
                <w:color w:val="auto"/>
                <w:kern w:val="2"/>
                <w:sz w:val="21"/>
                <w:szCs w:val="21"/>
                <w:vertAlign w:val="baseline"/>
                <w:lang w:val="en-US" w:eastAsia="zh-CN" w:bidi="ar-SA"/>
                <w14:ligatures w14:val="none"/>
              </w:rPr>
            </w:pPr>
            <w:r>
              <w:rPr>
                <w:rFonts w:hint="eastAsia" w:ascii="Times New Roman" w:hAnsi="Times New Roman" w:eastAsia="仿宋" w:cs="Times New Roman"/>
                <w:bCs/>
                <w:color w:val="auto"/>
                <w:kern w:val="2"/>
                <w:sz w:val="21"/>
                <w:szCs w:val="21"/>
                <w:vertAlign w:val="baseline"/>
                <w:lang w:val="en-US" w:eastAsia="zh-CN" w:bidi="ar-SA"/>
                <w14:ligatures w14:val="none"/>
              </w:rPr>
              <w:t xml:space="preserve">A Primer in the Economics of Climate Change </w:t>
            </w:r>
          </w:p>
        </w:tc>
        <w:tc>
          <w:tcPr>
            <w:tcW w:w="1125" w:type="dxa"/>
          </w:tcPr>
          <w:p w14:paraId="36353B37">
            <w:pPr>
              <w:rPr>
                <w:rFonts w:hint="eastAsia" w:ascii="Times New Roman" w:hAnsi="Times New Roman" w:eastAsia="仿宋"/>
                <w:bCs/>
                <w:color w:val="auto"/>
                <w:vertAlign w:val="baseline"/>
                <w:lang w:val="en-US" w:eastAsia="zh-CN"/>
              </w:rPr>
            </w:pPr>
          </w:p>
        </w:tc>
      </w:tr>
      <w:tr w14:paraId="711FA72D">
        <w:trPr>
          <w:trHeight w:val="527" w:hRule="atLeast"/>
        </w:trPr>
        <w:tc>
          <w:tcPr>
            <w:tcW w:w="1755" w:type="dxa"/>
            <w:vMerge w:val="continue"/>
          </w:tcPr>
          <w:p w14:paraId="19F48823">
            <w:pPr>
              <w:rPr>
                <w:rFonts w:hint="eastAsia" w:ascii="Times New Roman" w:hAnsi="Times New Roman" w:eastAsia="仿宋"/>
                <w:bCs/>
                <w:color w:val="auto"/>
                <w:vertAlign w:val="baseline"/>
                <w:lang w:val="en-US" w:eastAsia="zh-CN"/>
              </w:rPr>
            </w:pPr>
          </w:p>
        </w:tc>
        <w:tc>
          <w:tcPr>
            <w:tcW w:w="1934" w:type="dxa"/>
            <w:vMerge w:val="continue"/>
          </w:tcPr>
          <w:p w14:paraId="1BF9C824">
            <w:pPr>
              <w:rPr>
                <w:rFonts w:hint="eastAsia" w:ascii="Times New Roman" w:hAnsi="Times New Roman" w:eastAsia="仿宋" w:cs="Times New Roman"/>
                <w:bCs/>
                <w:color w:val="auto"/>
                <w:kern w:val="2"/>
                <w:sz w:val="21"/>
                <w:szCs w:val="21"/>
                <w:vertAlign w:val="baseline"/>
                <w:lang w:val="en-US" w:eastAsia="zh-CN" w:bidi="ar-SA"/>
                <w14:ligatures w14:val="none"/>
              </w:rPr>
            </w:pPr>
          </w:p>
        </w:tc>
        <w:tc>
          <w:tcPr>
            <w:tcW w:w="4576" w:type="dxa"/>
          </w:tcPr>
          <w:p w14:paraId="1AE1800B">
            <w:pPr>
              <w:pStyle w:val="12"/>
              <w:numPr>
                <w:ilvl w:val="0"/>
                <w:numId w:val="0"/>
              </w:numPr>
              <w:rPr>
                <w:rFonts w:hint="eastAsia" w:ascii="Times New Roman" w:hAnsi="Times New Roman" w:eastAsia="仿宋" w:cs="Times New Roman"/>
                <w:bCs/>
                <w:color w:val="auto"/>
                <w:kern w:val="2"/>
                <w:sz w:val="21"/>
                <w:szCs w:val="21"/>
                <w:vertAlign w:val="baseline"/>
                <w:lang w:val="en-US" w:eastAsia="zh-CN" w:bidi="ar-SA"/>
                <w14:ligatures w14:val="none"/>
              </w:rPr>
            </w:pPr>
            <w:r>
              <w:rPr>
                <w:rFonts w:hint="eastAsia" w:ascii="Times New Roman" w:hAnsi="Times New Roman" w:eastAsia="仿宋" w:cs="Times New Roman"/>
                <w:bCs/>
                <w:color w:val="auto"/>
                <w:kern w:val="2"/>
                <w:sz w:val="21"/>
                <w:szCs w:val="21"/>
                <w:vertAlign w:val="baseline"/>
                <w:lang w:val="en-US" w:eastAsia="zh-CN" w:bidi="ar-SA"/>
                <w14:ligatures w14:val="none"/>
              </w:rPr>
              <w:t xml:space="preserve">Employment Law and HR Management </w:t>
            </w:r>
          </w:p>
        </w:tc>
        <w:tc>
          <w:tcPr>
            <w:tcW w:w="1125" w:type="dxa"/>
          </w:tcPr>
          <w:p w14:paraId="02873D87">
            <w:pPr>
              <w:rPr>
                <w:rFonts w:hint="eastAsia" w:ascii="Times New Roman" w:hAnsi="Times New Roman" w:eastAsia="仿宋"/>
                <w:bCs/>
                <w:color w:val="auto"/>
                <w:vertAlign w:val="baseline"/>
                <w:lang w:val="en-US" w:eastAsia="zh-CN"/>
              </w:rPr>
            </w:pPr>
          </w:p>
        </w:tc>
      </w:tr>
      <w:tr w14:paraId="1804568A">
        <w:trPr>
          <w:trHeight w:val="398" w:hRule="atLeast"/>
        </w:trPr>
        <w:tc>
          <w:tcPr>
            <w:tcW w:w="1755" w:type="dxa"/>
            <w:vMerge w:val="continue"/>
          </w:tcPr>
          <w:p w14:paraId="46CBF6D3">
            <w:pPr>
              <w:rPr>
                <w:rFonts w:hint="eastAsia" w:ascii="Times New Roman" w:hAnsi="Times New Roman" w:eastAsia="仿宋"/>
                <w:bCs/>
                <w:color w:val="auto"/>
                <w:vertAlign w:val="baseline"/>
                <w:lang w:val="en-US" w:eastAsia="zh-CN"/>
              </w:rPr>
            </w:pPr>
          </w:p>
        </w:tc>
        <w:tc>
          <w:tcPr>
            <w:tcW w:w="1934" w:type="dxa"/>
            <w:vMerge w:val="continue"/>
          </w:tcPr>
          <w:p w14:paraId="072B8D83">
            <w:pPr>
              <w:rPr>
                <w:rFonts w:hint="eastAsia" w:ascii="Times New Roman" w:hAnsi="Times New Roman" w:eastAsia="仿宋" w:cs="Times New Roman"/>
                <w:bCs/>
                <w:color w:val="auto"/>
                <w:kern w:val="2"/>
                <w:sz w:val="21"/>
                <w:szCs w:val="21"/>
                <w:vertAlign w:val="baseline"/>
                <w:lang w:val="en-US" w:eastAsia="zh-CN" w:bidi="ar-SA"/>
                <w14:ligatures w14:val="none"/>
              </w:rPr>
            </w:pPr>
          </w:p>
        </w:tc>
        <w:tc>
          <w:tcPr>
            <w:tcW w:w="4576" w:type="dxa"/>
          </w:tcPr>
          <w:p w14:paraId="3A0E6DFF">
            <w:pPr>
              <w:pStyle w:val="12"/>
              <w:numPr>
                <w:ilvl w:val="0"/>
                <w:numId w:val="0"/>
              </w:numPr>
              <w:rPr>
                <w:rFonts w:hint="eastAsia" w:ascii="Times New Roman" w:hAnsi="Times New Roman" w:eastAsia="仿宋" w:cs="Times New Roman"/>
                <w:bCs/>
                <w:color w:val="auto"/>
                <w:kern w:val="2"/>
                <w:sz w:val="21"/>
                <w:szCs w:val="21"/>
                <w:vertAlign w:val="baseline"/>
                <w:lang w:val="en-US" w:eastAsia="zh-CN" w:bidi="ar-SA"/>
                <w14:ligatures w14:val="none"/>
              </w:rPr>
            </w:pPr>
            <w:r>
              <w:rPr>
                <w:rFonts w:hint="eastAsia" w:ascii="Times New Roman" w:hAnsi="Times New Roman" w:eastAsia="仿宋" w:cs="Times New Roman"/>
                <w:bCs/>
                <w:color w:val="auto"/>
                <w:kern w:val="2"/>
                <w:sz w:val="21"/>
                <w:szCs w:val="21"/>
                <w:vertAlign w:val="baseline"/>
                <w:lang w:val="en-US" w:eastAsia="zh-CN" w:bidi="ar-SA"/>
                <w14:ligatures w14:val="none"/>
              </w:rPr>
              <w:t xml:space="preserve">European Union Financial Law  </w:t>
            </w:r>
          </w:p>
        </w:tc>
        <w:tc>
          <w:tcPr>
            <w:tcW w:w="1125" w:type="dxa"/>
          </w:tcPr>
          <w:p w14:paraId="222FE504">
            <w:pPr>
              <w:rPr>
                <w:rFonts w:hint="eastAsia" w:ascii="Times New Roman" w:hAnsi="Times New Roman" w:eastAsia="仿宋"/>
                <w:bCs/>
                <w:color w:val="auto"/>
                <w:vertAlign w:val="baseline"/>
                <w:lang w:val="en-US" w:eastAsia="zh-CN"/>
              </w:rPr>
            </w:pPr>
          </w:p>
        </w:tc>
      </w:tr>
      <w:tr w14:paraId="2DECC0C1">
        <w:trPr>
          <w:trHeight w:val="355" w:hRule="atLeast"/>
        </w:trPr>
        <w:tc>
          <w:tcPr>
            <w:tcW w:w="1755" w:type="dxa"/>
            <w:vMerge w:val="continue"/>
          </w:tcPr>
          <w:p w14:paraId="2ED72A2E">
            <w:pPr>
              <w:rPr>
                <w:rFonts w:hint="eastAsia" w:ascii="Times New Roman" w:hAnsi="Times New Roman" w:eastAsia="仿宋"/>
                <w:bCs/>
                <w:color w:val="auto"/>
                <w:vertAlign w:val="baseline"/>
                <w:lang w:val="en-US" w:eastAsia="zh-CN"/>
              </w:rPr>
            </w:pPr>
          </w:p>
        </w:tc>
        <w:tc>
          <w:tcPr>
            <w:tcW w:w="1934" w:type="dxa"/>
            <w:vMerge w:val="continue"/>
          </w:tcPr>
          <w:p w14:paraId="0BE82FE1">
            <w:pPr>
              <w:rPr>
                <w:rFonts w:hint="eastAsia" w:ascii="Times New Roman" w:hAnsi="Times New Roman" w:eastAsia="仿宋" w:cs="Times New Roman"/>
                <w:bCs/>
                <w:color w:val="auto"/>
                <w:kern w:val="2"/>
                <w:sz w:val="21"/>
                <w:szCs w:val="21"/>
                <w:vertAlign w:val="baseline"/>
                <w:lang w:val="en-US" w:eastAsia="zh-CN" w:bidi="ar-SA"/>
                <w14:ligatures w14:val="none"/>
              </w:rPr>
            </w:pPr>
          </w:p>
        </w:tc>
        <w:tc>
          <w:tcPr>
            <w:tcW w:w="4576" w:type="dxa"/>
          </w:tcPr>
          <w:p w14:paraId="734A362B">
            <w:pPr>
              <w:pStyle w:val="12"/>
              <w:numPr>
                <w:ilvl w:val="0"/>
                <w:numId w:val="0"/>
              </w:numPr>
              <w:rPr>
                <w:rFonts w:hint="eastAsia" w:ascii="Times New Roman" w:hAnsi="Times New Roman" w:eastAsia="仿宋" w:cs="Times New Roman"/>
                <w:bCs/>
                <w:color w:val="auto"/>
                <w:kern w:val="2"/>
                <w:sz w:val="21"/>
                <w:szCs w:val="21"/>
                <w:vertAlign w:val="baseline"/>
                <w:lang w:val="en-US" w:eastAsia="zh-CN" w:bidi="ar-SA"/>
                <w14:ligatures w14:val="none"/>
              </w:rPr>
            </w:pPr>
            <w:r>
              <w:rPr>
                <w:rFonts w:hint="eastAsia" w:ascii="Times New Roman" w:hAnsi="Times New Roman" w:eastAsia="仿宋" w:cs="Times New Roman"/>
                <w:bCs/>
                <w:color w:val="auto"/>
                <w:kern w:val="2"/>
                <w:sz w:val="21"/>
                <w:szCs w:val="21"/>
                <w:vertAlign w:val="baseline"/>
                <w:lang w:val="en-US" w:eastAsia="zh-CN" w:bidi="ar-SA"/>
                <w14:ligatures w14:val="none"/>
              </w:rPr>
              <w:t xml:space="preserve">Introduction to Media Management </w:t>
            </w:r>
          </w:p>
        </w:tc>
        <w:tc>
          <w:tcPr>
            <w:tcW w:w="1125" w:type="dxa"/>
          </w:tcPr>
          <w:p w14:paraId="01C869ED">
            <w:pPr>
              <w:rPr>
                <w:rFonts w:hint="eastAsia" w:ascii="Times New Roman" w:hAnsi="Times New Roman" w:eastAsia="仿宋"/>
                <w:bCs/>
                <w:color w:val="auto"/>
                <w:vertAlign w:val="baseline"/>
                <w:lang w:val="en-US" w:eastAsia="zh-CN"/>
              </w:rPr>
            </w:pPr>
          </w:p>
        </w:tc>
      </w:tr>
      <w:tr w14:paraId="0AF0D74F">
        <w:trPr>
          <w:trHeight w:val="399" w:hRule="atLeast"/>
        </w:trPr>
        <w:tc>
          <w:tcPr>
            <w:tcW w:w="1755" w:type="dxa"/>
            <w:vMerge w:val="continue"/>
          </w:tcPr>
          <w:p w14:paraId="48A9A357">
            <w:pPr>
              <w:rPr>
                <w:rFonts w:hint="eastAsia" w:ascii="Times New Roman" w:hAnsi="Times New Roman" w:eastAsia="仿宋"/>
                <w:bCs/>
                <w:color w:val="auto"/>
                <w:vertAlign w:val="baseline"/>
                <w:lang w:val="en-US" w:eastAsia="zh-CN"/>
              </w:rPr>
            </w:pPr>
          </w:p>
        </w:tc>
        <w:tc>
          <w:tcPr>
            <w:tcW w:w="1934" w:type="dxa"/>
            <w:vMerge w:val="continue"/>
          </w:tcPr>
          <w:p w14:paraId="31BCC866">
            <w:pPr>
              <w:rPr>
                <w:rFonts w:hint="eastAsia" w:ascii="Times New Roman" w:hAnsi="Times New Roman" w:eastAsia="仿宋" w:cs="Times New Roman"/>
                <w:bCs/>
                <w:color w:val="auto"/>
                <w:kern w:val="2"/>
                <w:sz w:val="21"/>
                <w:szCs w:val="21"/>
                <w:vertAlign w:val="baseline"/>
                <w:lang w:val="en-US" w:eastAsia="zh-CN" w:bidi="ar-SA"/>
                <w14:ligatures w14:val="none"/>
              </w:rPr>
            </w:pPr>
          </w:p>
        </w:tc>
        <w:tc>
          <w:tcPr>
            <w:tcW w:w="4576" w:type="dxa"/>
          </w:tcPr>
          <w:p w14:paraId="6D5AC7F5">
            <w:pPr>
              <w:pStyle w:val="12"/>
              <w:numPr>
                <w:ilvl w:val="0"/>
                <w:numId w:val="0"/>
              </w:numPr>
              <w:rPr>
                <w:rFonts w:hint="eastAsia" w:ascii="Times New Roman" w:hAnsi="Times New Roman" w:eastAsia="仿宋" w:cs="Times New Roman"/>
                <w:bCs/>
                <w:color w:val="auto"/>
                <w:kern w:val="2"/>
                <w:sz w:val="21"/>
                <w:szCs w:val="21"/>
                <w:vertAlign w:val="baseline"/>
                <w:lang w:val="en-US" w:eastAsia="zh-CN" w:bidi="ar-SA"/>
                <w14:ligatures w14:val="none"/>
              </w:rPr>
            </w:pPr>
            <w:r>
              <w:rPr>
                <w:rFonts w:hint="eastAsia" w:ascii="Times New Roman" w:hAnsi="Times New Roman" w:eastAsia="仿宋" w:cs="Times New Roman"/>
                <w:bCs/>
                <w:color w:val="auto"/>
                <w:kern w:val="2"/>
                <w:sz w:val="21"/>
                <w:szCs w:val="21"/>
                <w:vertAlign w:val="baseline"/>
                <w:lang w:val="en-US" w:eastAsia="zh-CN" w:bidi="ar-SA"/>
                <w14:ligatures w14:val="none"/>
              </w:rPr>
              <w:t>International Data Law</w:t>
            </w:r>
          </w:p>
        </w:tc>
        <w:tc>
          <w:tcPr>
            <w:tcW w:w="1125" w:type="dxa"/>
          </w:tcPr>
          <w:p w14:paraId="03FB118A">
            <w:pPr>
              <w:rPr>
                <w:rFonts w:hint="eastAsia" w:ascii="Times New Roman" w:hAnsi="Times New Roman" w:eastAsia="仿宋"/>
                <w:bCs/>
                <w:color w:val="auto"/>
                <w:vertAlign w:val="baseline"/>
                <w:lang w:val="en-US" w:eastAsia="zh-CN"/>
              </w:rPr>
            </w:pPr>
          </w:p>
        </w:tc>
      </w:tr>
    </w:tbl>
    <w:p w14:paraId="6D8823CC">
      <w:pPr>
        <w:rPr>
          <w:rFonts w:hint="default" w:ascii="Times New Roman" w:hAnsi="Times New Roman" w:eastAsia="仿宋"/>
          <w:b/>
          <w:bCs/>
          <w:sz w:val="24"/>
          <w:szCs w:val="24"/>
          <w:lang w:val="en-US" w:eastAsia="zh-CN"/>
        </w:rPr>
      </w:pPr>
      <w:r>
        <w:rPr>
          <w:rFonts w:hint="eastAsia" w:ascii="Times New Roman" w:hAnsi="Times New Roman" w:eastAsia="仿宋"/>
          <w:b/>
          <w:bCs/>
          <w:sz w:val="24"/>
          <w:szCs w:val="24"/>
          <w:lang w:val="en-US" w:eastAsia="zh-CN"/>
        </w:rPr>
        <w:t>The following are courses related information:</w:t>
      </w:r>
    </w:p>
    <w:p w14:paraId="2EB77C2F">
      <w:pPr>
        <w:rPr>
          <w:rFonts w:ascii="Times New Roman" w:hAnsi="Times New Roman" w:eastAsia="仿宋"/>
          <w:b/>
          <w:bCs/>
          <w:sz w:val="24"/>
          <w:szCs w:val="24"/>
        </w:rPr>
      </w:pPr>
    </w:p>
    <w:p w14:paraId="6BF37D70">
      <w:pPr>
        <w:numPr>
          <w:ilvl w:val="0"/>
          <w:numId w:val="1"/>
        </w:numPr>
        <w:rPr>
          <w:rFonts w:ascii="Times New Roman" w:hAnsi="Times New Roman" w:eastAsia="仿宋"/>
          <w:b/>
          <w:bCs/>
          <w:i/>
          <w:iCs/>
          <w:sz w:val="24"/>
          <w:szCs w:val="24"/>
        </w:rPr>
      </w:pPr>
      <w:r>
        <w:rPr>
          <w:rFonts w:hint="eastAsia" w:ascii="Times New Roman" w:hAnsi="Times New Roman" w:eastAsia="仿宋"/>
          <w:b/>
          <w:bCs/>
          <w:i/>
          <w:iCs/>
          <w:sz w:val="24"/>
          <w:szCs w:val="24"/>
          <w:lang w:val="en-US" w:eastAsia="zh-CN"/>
        </w:rPr>
        <w:t>A Primer in the Economics of Climate Change</w:t>
      </w:r>
    </w:p>
    <w:p w14:paraId="5F63D1B9">
      <w:pPr>
        <w:rPr>
          <w:rFonts w:hint="eastAsia" w:ascii="Times New Roman" w:hAnsi="Times New Roman" w:eastAsia="仿宋"/>
          <w:b/>
          <w:bCs/>
          <w:sz w:val="24"/>
          <w:szCs w:val="24"/>
        </w:rPr>
      </w:pPr>
    </w:p>
    <w:p w14:paraId="6F8FC0A4">
      <w:pPr>
        <w:rPr>
          <w:rFonts w:hint="eastAsia" w:ascii="Times New Roman" w:hAnsi="Times New Roman" w:eastAsia="仿宋"/>
          <w:b/>
          <w:bCs/>
          <w:sz w:val="24"/>
          <w:szCs w:val="24"/>
        </w:rPr>
      </w:pPr>
      <w:r>
        <w:rPr>
          <w:rFonts w:hint="eastAsia" w:ascii="Times New Roman" w:hAnsi="Times New Roman" w:eastAsia="仿宋"/>
          <w:b/>
          <w:bCs/>
          <w:sz w:val="24"/>
          <w:szCs w:val="24"/>
        </w:rPr>
        <w:t xml:space="preserve">Course Brief: </w:t>
      </w:r>
    </w:p>
    <w:p w14:paraId="2BFDB2DF">
      <w:pPr>
        <w:rPr>
          <w:rFonts w:hint="eastAsia" w:ascii="Times New Roman" w:hAnsi="Times New Roman" w:eastAsia="仿宋"/>
          <w:sz w:val="24"/>
          <w:szCs w:val="24"/>
        </w:rPr>
      </w:pPr>
      <w:r>
        <w:rPr>
          <w:rFonts w:hint="eastAsia" w:ascii="Times New Roman" w:hAnsi="Times New Roman" w:eastAsia="仿宋"/>
          <w:sz w:val="24"/>
          <w:szCs w:val="24"/>
        </w:rPr>
        <w:t>Climate change is one of the most pressing challenges of our time, affecting every aspect of our lives, from our natural environment, to our health, our social interactions, and to the global and national economies. Understanding the economics of climate change is crucial for addressing its impacts and finding sustainable and efficient solutions. This introductory course aims to equip future leaders in business, academia, and politics with the knowledge and skills needed to navigate the complexities of climate change.</w:t>
      </w:r>
    </w:p>
    <w:p w14:paraId="212E41DF">
      <w:pPr>
        <w:rPr>
          <w:rFonts w:hint="eastAsia" w:ascii="Times New Roman" w:hAnsi="Times New Roman" w:eastAsia="仿宋"/>
          <w:sz w:val="24"/>
          <w:szCs w:val="24"/>
        </w:rPr>
      </w:pPr>
      <w:r>
        <w:rPr>
          <w:rFonts w:hint="eastAsia" w:ascii="Times New Roman" w:hAnsi="Times New Roman" w:eastAsia="仿宋"/>
          <w:sz w:val="24"/>
          <w:szCs w:val="24"/>
        </w:rPr>
        <w:t>In this course, students will explore the fundamental principles of climate change economics. As this is a complex topic that spans across various social and natural science subjects, the curriculum will cover a wide range of topics, such as the basics of energy economics and its interaction with climate change, the basics of climate change physics and its economic importance, intertemporal and intra-temporal decision making, climate change coping strategies such as mitigation and adaption, and the efficiency, efficacy, and distributional impacts of climate related policies and solutions. Students will learn about this subject through lectures, interactive discussions, and student presentations.</w:t>
      </w:r>
    </w:p>
    <w:p w14:paraId="1545E205">
      <w:pPr>
        <w:rPr>
          <w:rFonts w:hint="eastAsia" w:ascii="Times New Roman" w:hAnsi="Times New Roman" w:eastAsia="仿宋"/>
          <w:sz w:val="24"/>
          <w:szCs w:val="24"/>
        </w:rPr>
      </w:pPr>
      <w:r>
        <w:rPr>
          <w:rFonts w:hint="eastAsia" w:ascii="Times New Roman" w:hAnsi="Times New Roman" w:eastAsia="仿宋"/>
          <w:sz w:val="24"/>
          <w:szCs w:val="24"/>
        </w:rPr>
        <w:t>By the end of this course, students will be equipped with the basic understanding of the economics of climate change and its interactions with related legal, social, and natural science aspects enabling them to apply this knowledge in their academic studies and professional or academic careers.</w:t>
      </w:r>
    </w:p>
    <w:p w14:paraId="5CA829C3">
      <w:pPr>
        <w:rPr>
          <w:rFonts w:hint="eastAsia" w:ascii="仿宋" w:hAnsi="仿宋" w:eastAsia="仿宋"/>
          <w:b/>
          <w:bCs/>
          <w:sz w:val="24"/>
          <w:szCs w:val="24"/>
        </w:rPr>
      </w:pPr>
    </w:p>
    <w:p w14:paraId="0A0DEB1A">
      <w:pPr>
        <w:rPr>
          <w:rFonts w:hint="default" w:ascii="Times New Roman" w:hAnsi="Times New Roman" w:eastAsia="仿宋"/>
          <w:sz w:val="24"/>
          <w:szCs w:val="24"/>
          <w:lang w:val="en-US" w:eastAsia="zh-CN"/>
        </w:rPr>
      </w:pPr>
      <w:r>
        <w:rPr>
          <w:rFonts w:hint="eastAsia" w:ascii="Times New Roman" w:hAnsi="Times New Roman" w:eastAsia="仿宋"/>
          <w:b/>
          <w:bCs/>
          <w:sz w:val="24"/>
          <w:szCs w:val="24"/>
          <w:lang w:val="en-US" w:eastAsia="zh-CN"/>
        </w:rPr>
        <w:t>Teacher</w:t>
      </w:r>
      <w:r>
        <w:rPr>
          <w:rFonts w:hint="eastAsia" w:ascii="Times New Roman" w:hAnsi="Times New Roman" w:eastAsia="仿宋"/>
          <w:sz w:val="24"/>
          <w:szCs w:val="24"/>
          <w:lang w:val="en-US" w:eastAsia="zh-CN"/>
        </w:rPr>
        <w:t>：</w:t>
      </w:r>
      <w:r>
        <w:rPr>
          <w:rFonts w:hint="eastAsia" w:ascii="Times New Roman" w:hAnsi="Times New Roman" w:eastAsia="仿宋"/>
          <w:sz w:val="24"/>
          <w:szCs w:val="24"/>
        </w:rPr>
        <w:t>Jan Olivier Imhof</w:t>
      </w:r>
      <w:r>
        <w:rPr>
          <w:rFonts w:hint="eastAsia" w:ascii="Times New Roman" w:hAnsi="Times New Roman" w:eastAsia="仿宋"/>
          <w:sz w:val="24"/>
          <w:szCs w:val="24"/>
          <w:lang w:val="en-US" w:eastAsia="zh-CN"/>
        </w:rPr>
        <w:t>, International Finance Corporation</w:t>
      </w:r>
    </w:p>
    <w:p w14:paraId="0BD9F109">
      <w:pPr>
        <w:spacing w:line="480" w:lineRule="auto"/>
        <w:rPr>
          <w:rFonts w:ascii="仿宋" w:hAnsi="仿宋" w:eastAsia="仿宋"/>
          <w:sz w:val="24"/>
          <w:szCs w:val="24"/>
        </w:rPr>
      </w:pPr>
      <w:r>
        <w:rPr>
          <w:rFonts w:hint="eastAsia" w:ascii="仿宋" w:hAnsi="仿宋" w:eastAsia="仿宋"/>
          <w:b/>
          <w:bCs/>
          <w:sz w:val="24"/>
          <w:szCs w:val="24"/>
          <w:lang w:val="en-US" w:eastAsia="zh-CN"/>
        </w:rPr>
        <w:t xml:space="preserve"> </w:t>
      </w:r>
    </w:p>
    <w:p w14:paraId="0F0A5459">
      <w:pPr>
        <w:numPr>
          <w:ilvl w:val="0"/>
          <w:numId w:val="2"/>
        </w:numPr>
        <w:rPr>
          <w:rFonts w:hint="eastAsia" w:ascii="Times New Roman" w:hAnsi="Times New Roman" w:eastAsia="仿宋"/>
          <w:b/>
          <w:bCs/>
          <w:i/>
          <w:iCs/>
          <w:sz w:val="24"/>
          <w:szCs w:val="24"/>
        </w:rPr>
      </w:pPr>
      <w:r>
        <w:rPr>
          <w:rFonts w:hint="eastAsia" w:ascii="Times New Roman" w:hAnsi="Times New Roman" w:eastAsia="仿宋"/>
          <w:b/>
          <w:bCs/>
          <w:i/>
          <w:iCs/>
          <w:sz w:val="24"/>
          <w:szCs w:val="24"/>
          <w:lang w:val="en-US" w:eastAsia="zh-CN"/>
        </w:rPr>
        <w:t>Employment Law and HR Management</w:t>
      </w:r>
    </w:p>
    <w:p w14:paraId="788D5F60">
      <w:pPr>
        <w:autoSpaceDE w:val="0"/>
        <w:ind w:firstLine="482" w:firstLineChars="200"/>
        <w:rPr>
          <w:rFonts w:hint="eastAsia" w:ascii="Times New Roman" w:hAnsi="Times New Roman" w:eastAsia="仿宋"/>
          <w:sz w:val="24"/>
          <w:szCs w:val="24"/>
          <w:lang w:val="en-US" w:eastAsia="zh-CN"/>
        </w:rPr>
      </w:pPr>
      <w:r>
        <w:rPr>
          <w:rFonts w:hint="eastAsia" w:ascii="仿宋" w:hAnsi="仿宋" w:eastAsia="仿宋"/>
          <w:b/>
          <w:bCs/>
          <w:sz w:val="24"/>
          <w:szCs w:val="24"/>
          <w:lang w:val="en-US" w:eastAsia="zh-CN"/>
        </w:rPr>
        <w:t xml:space="preserve"> </w:t>
      </w:r>
      <w:r>
        <w:rPr>
          <w:rFonts w:hint="eastAsia" w:ascii="仿宋" w:hAnsi="仿宋" w:eastAsia="仿宋"/>
          <w:sz w:val="24"/>
          <w:szCs w:val="24"/>
          <w:lang w:val="en-US" w:eastAsia="zh-CN"/>
        </w:rPr>
        <w:t xml:space="preserve"> </w:t>
      </w:r>
    </w:p>
    <w:p w14:paraId="55C0747E">
      <w:pPr>
        <w:rPr>
          <w:rFonts w:hint="eastAsia" w:ascii="Times New Roman" w:hAnsi="Times New Roman" w:eastAsia="仿宋"/>
          <w:b/>
          <w:bCs/>
          <w:sz w:val="24"/>
          <w:szCs w:val="24"/>
        </w:rPr>
      </w:pPr>
      <w:r>
        <w:rPr>
          <w:rFonts w:hint="eastAsia" w:ascii="Times New Roman" w:hAnsi="Times New Roman" w:eastAsia="仿宋"/>
          <w:b/>
          <w:bCs/>
          <w:sz w:val="24"/>
          <w:szCs w:val="24"/>
        </w:rPr>
        <w:t xml:space="preserve">Course Brief: </w:t>
      </w:r>
    </w:p>
    <w:p w14:paraId="1789FF68">
      <w:pPr>
        <w:rPr>
          <w:rFonts w:hint="eastAsia" w:ascii="Times New Roman" w:hAnsi="Times New Roman" w:eastAsia="仿宋"/>
          <w:sz w:val="24"/>
          <w:szCs w:val="24"/>
        </w:rPr>
      </w:pPr>
      <w:r>
        <w:rPr>
          <w:rFonts w:hint="eastAsia" w:ascii="Times New Roman" w:hAnsi="Times New Roman" w:eastAsia="仿宋"/>
          <w:sz w:val="24"/>
          <w:szCs w:val="24"/>
        </w:rPr>
        <w:t>This course explores the intersection of employment law and human resource management, providing students with both doctrinal knowledge and practical skills to navigate workplace legal issues. Covering the full lifecycle of the employment relationship, the course addresses key topics including employment contracts, compensation and benefits, workplace discrimination and harassment, occupational health and safety, collective bargaining and labour relations, employee privacy, termination and wrongful discharge, and HR compliance and risk management. Drawing on comparative legal frameworks across multiple jurisdictions, the course equips law and non-law students alike to advise employers, employees, and HR professionals on a broad range of employment law challenges in today's complex and globalised workplace.</w:t>
      </w:r>
    </w:p>
    <w:p w14:paraId="5F6A9E26">
      <w:pPr>
        <w:rPr>
          <w:rFonts w:hint="eastAsia" w:ascii="Times New Roman" w:hAnsi="Times New Roman" w:eastAsia="仿宋"/>
          <w:sz w:val="24"/>
          <w:szCs w:val="24"/>
        </w:rPr>
      </w:pPr>
    </w:p>
    <w:p w14:paraId="2785AE17">
      <w:pPr>
        <w:rPr>
          <w:rFonts w:hint="default" w:ascii="Times New Roman" w:hAnsi="Times New Roman" w:eastAsia="仿宋"/>
          <w:sz w:val="24"/>
          <w:szCs w:val="24"/>
          <w:lang w:val="en-US" w:eastAsia="zh-CN"/>
        </w:rPr>
      </w:pPr>
      <w:r>
        <w:rPr>
          <w:rFonts w:hint="eastAsia" w:ascii="Times New Roman" w:hAnsi="Times New Roman" w:eastAsia="仿宋"/>
          <w:b/>
          <w:bCs/>
          <w:sz w:val="24"/>
          <w:szCs w:val="24"/>
          <w:lang w:val="en-US" w:eastAsia="zh-CN"/>
        </w:rPr>
        <w:t>Teacher:</w:t>
      </w:r>
      <w:r>
        <w:rPr>
          <w:rFonts w:hint="eastAsia" w:ascii="仿宋" w:hAnsi="仿宋" w:eastAsia="仿宋"/>
          <w:b/>
          <w:bCs/>
          <w:sz w:val="24"/>
          <w:szCs w:val="24"/>
          <w:lang w:val="en-US" w:eastAsia="zh-CN"/>
        </w:rPr>
        <w:t xml:space="preserve"> </w:t>
      </w:r>
      <w:r>
        <w:rPr>
          <w:rFonts w:hint="eastAsia" w:ascii="Times New Roman" w:hAnsi="Times New Roman" w:eastAsia="仿宋"/>
          <w:sz w:val="24"/>
          <w:szCs w:val="24"/>
        </w:rPr>
        <w:t>Panthip Pruksacholavit</w:t>
      </w:r>
      <w:r>
        <w:rPr>
          <w:rFonts w:hint="eastAsia" w:ascii="Times New Roman" w:hAnsi="Times New Roman" w:eastAsia="仿宋"/>
          <w:sz w:val="24"/>
          <w:szCs w:val="24"/>
          <w:lang w:val="en-US" w:eastAsia="zh-CN"/>
        </w:rPr>
        <w:t>, Chulalongkorn University, Thailand</w:t>
      </w:r>
    </w:p>
    <w:p w14:paraId="214E5534">
      <w:pPr>
        <w:spacing w:line="480" w:lineRule="auto"/>
        <w:rPr>
          <w:rFonts w:hint="eastAsia" w:ascii="仿宋" w:hAnsi="仿宋" w:eastAsia="仿宋" w:cs="宋体"/>
          <w:sz w:val="24"/>
          <w:szCs w:val="24"/>
          <w:lang w:eastAsia="zh-CN"/>
        </w:rPr>
      </w:pPr>
      <w:r>
        <w:rPr>
          <w:rFonts w:hint="eastAsia" w:ascii="仿宋" w:hAnsi="仿宋" w:eastAsia="仿宋"/>
          <w:b/>
          <w:bCs/>
          <w:sz w:val="24"/>
          <w:szCs w:val="24"/>
          <w:lang w:val="en-US" w:eastAsia="zh-CN"/>
        </w:rPr>
        <w:t xml:space="preserve"> </w:t>
      </w:r>
    </w:p>
    <w:p w14:paraId="79149EA5">
      <w:pPr>
        <w:numPr>
          <w:ilvl w:val="0"/>
          <w:numId w:val="0"/>
        </w:numPr>
        <w:ind w:leftChars="0"/>
        <w:rPr>
          <w:rFonts w:hint="eastAsia" w:ascii="仿宋" w:hAnsi="仿宋" w:eastAsia="仿宋"/>
          <w:sz w:val="24"/>
          <w:szCs w:val="24"/>
        </w:rPr>
      </w:pPr>
      <w:r>
        <w:rPr>
          <w:rFonts w:hint="eastAsia" w:ascii="Times New Roman" w:hAnsi="Times New Roman" w:eastAsia="仿宋"/>
          <w:b/>
          <w:bCs/>
          <w:i/>
          <w:iCs/>
          <w:sz w:val="24"/>
          <w:szCs w:val="24"/>
          <w:lang w:val="en-US" w:eastAsia="zh-CN"/>
        </w:rPr>
        <w:t>3. European Union Financial Law</w:t>
      </w:r>
      <w:r>
        <w:rPr>
          <w:rFonts w:hint="eastAsia" w:ascii="Times New Roman" w:hAnsi="Times New Roman" w:eastAsia="仿宋"/>
          <w:i/>
          <w:iCs/>
          <w:sz w:val="24"/>
          <w:szCs w:val="24"/>
          <w:lang w:val="en-US" w:eastAsia="zh-CN"/>
        </w:rPr>
        <w:t xml:space="preserve"> </w:t>
      </w:r>
      <w:r>
        <w:rPr>
          <w:rFonts w:hint="eastAsia" w:ascii="Times New Roman" w:hAnsi="Times New Roman" w:eastAsia="仿宋" w:cs="Times New Roman"/>
          <w:bCs/>
          <w:color w:val="auto"/>
          <w:kern w:val="2"/>
          <w:sz w:val="21"/>
          <w:szCs w:val="21"/>
          <w:vertAlign w:val="baseline"/>
          <w:lang w:val="en-US" w:eastAsia="zh-CN" w:bidi="ar-SA"/>
          <w14:ligatures w14:val="none"/>
        </w:rPr>
        <w:t xml:space="preserve"> </w:t>
      </w:r>
    </w:p>
    <w:p w14:paraId="6BAFD7FD">
      <w:pPr>
        <w:autoSpaceDE w:val="0"/>
        <w:ind w:firstLine="482" w:firstLineChars="200"/>
        <w:rPr>
          <w:rFonts w:hint="eastAsia" w:ascii="Times New Roman" w:hAnsi="Times New Roman" w:eastAsia="仿宋"/>
          <w:sz w:val="24"/>
          <w:szCs w:val="24"/>
          <w:lang w:eastAsia="zh-CN"/>
        </w:rPr>
      </w:pPr>
      <w:r>
        <w:rPr>
          <w:rFonts w:hint="eastAsia" w:ascii="仿宋" w:hAnsi="仿宋" w:eastAsia="仿宋"/>
          <w:b/>
          <w:bCs/>
          <w:sz w:val="24"/>
          <w:szCs w:val="24"/>
          <w:lang w:val="en-US" w:eastAsia="zh-CN"/>
        </w:rPr>
        <w:t xml:space="preserve">  </w:t>
      </w:r>
    </w:p>
    <w:p w14:paraId="1BED7182">
      <w:pPr>
        <w:rPr>
          <w:rFonts w:hint="eastAsia" w:ascii="Times New Roman" w:hAnsi="Times New Roman" w:eastAsia="仿宋"/>
          <w:b/>
          <w:bCs/>
          <w:sz w:val="24"/>
          <w:szCs w:val="24"/>
        </w:rPr>
      </w:pPr>
      <w:r>
        <w:rPr>
          <w:rFonts w:hint="eastAsia" w:ascii="Times New Roman" w:hAnsi="Times New Roman" w:eastAsia="仿宋"/>
          <w:b/>
          <w:bCs/>
          <w:sz w:val="24"/>
          <w:szCs w:val="24"/>
        </w:rPr>
        <w:t xml:space="preserve">Course Brief: </w:t>
      </w:r>
    </w:p>
    <w:p w14:paraId="48E5D351">
      <w:pPr>
        <w:rPr>
          <w:rFonts w:hint="eastAsia" w:ascii="Times New Roman" w:hAnsi="Times New Roman" w:eastAsia="仿宋"/>
          <w:sz w:val="24"/>
          <w:szCs w:val="24"/>
        </w:rPr>
      </w:pPr>
      <w:r>
        <w:rPr>
          <w:rFonts w:hint="eastAsia" w:ascii="Times New Roman" w:hAnsi="Times New Roman" w:eastAsia="仿宋"/>
          <w:sz w:val="24"/>
          <w:szCs w:val="24"/>
        </w:rPr>
        <w:t>This course is a elective major course for the Law major.</w:t>
      </w:r>
    </w:p>
    <w:p w14:paraId="02059A93">
      <w:pPr>
        <w:rPr>
          <w:rFonts w:hint="eastAsia" w:ascii="Times New Roman" w:hAnsi="Times New Roman" w:eastAsia="仿宋"/>
          <w:sz w:val="24"/>
          <w:szCs w:val="24"/>
        </w:rPr>
      </w:pPr>
      <w:r>
        <w:rPr>
          <w:rFonts w:hint="eastAsia" w:ascii="Times New Roman" w:hAnsi="Times New Roman" w:eastAsia="仿宋"/>
          <w:sz w:val="24"/>
          <w:szCs w:val="24"/>
        </w:rPr>
        <w:t>The aim of this course is to:</w:t>
      </w:r>
    </w:p>
    <w:p w14:paraId="7C6CD102">
      <w:pPr>
        <w:rPr>
          <w:rFonts w:hint="eastAsia" w:ascii="Times New Roman" w:hAnsi="Times New Roman" w:eastAsia="仿宋"/>
          <w:sz w:val="24"/>
          <w:szCs w:val="24"/>
        </w:rPr>
      </w:pPr>
      <w:r>
        <w:rPr>
          <w:rFonts w:hint="eastAsia" w:ascii="Times New Roman" w:hAnsi="Times New Roman" w:eastAsia="仿宋"/>
          <w:sz w:val="24"/>
          <w:szCs w:val="24"/>
        </w:rPr>
        <w:t xml:space="preserve">1. To enable students to understand the fundamental concepts of the EU financial system, the institutional architecture of financial supervision, and the core legislations such as the Banking Union, MiFID, and BRRD; </w:t>
      </w:r>
    </w:p>
    <w:p w14:paraId="1219DBE8">
      <w:pPr>
        <w:rPr>
          <w:rFonts w:hint="eastAsia" w:ascii="Times New Roman" w:hAnsi="Times New Roman" w:eastAsia="仿宋"/>
          <w:sz w:val="24"/>
          <w:szCs w:val="24"/>
        </w:rPr>
      </w:pPr>
      <w:r>
        <w:rPr>
          <w:rFonts w:hint="eastAsia" w:ascii="Times New Roman" w:hAnsi="Times New Roman" w:eastAsia="仿宋"/>
          <w:sz w:val="24"/>
          <w:szCs w:val="24"/>
        </w:rPr>
        <w:t xml:space="preserve">2. To cultivate students' ability to analyze complex legal issues in cross-border financial contexts, interpret EU directives and regulations, and apply legal reasoning to resolve practical disputes in banking and financial markets. </w:t>
      </w:r>
    </w:p>
    <w:p w14:paraId="42FAF83C">
      <w:pPr>
        <w:rPr>
          <w:rFonts w:hint="eastAsia" w:ascii="Times New Roman" w:hAnsi="Times New Roman" w:eastAsia="仿宋"/>
          <w:sz w:val="24"/>
          <w:szCs w:val="24"/>
        </w:rPr>
      </w:pPr>
      <w:r>
        <w:rPr>
          <w:rFonts w:hint="eastAsia" w:ascii="Times New Roman" w:hAnsi="Times New Roman" w:eastAsia="仿宋"/>
          <w:sz w:val="24"/>
          <w:szCs w:val="24"/>
        </w:rPr>
        <w:t>3. To foster a global legal perspective, enhance students' awareness of cross-cultural legal practice, and encourage critical thinking regarding the harmonization of financial laws and the stability of the global financial system.</w:t>
      </w:r>
    </w:p>
    <w:p w14:paraId="5D5A54A4">
      <w:pPr>
        <w:rPr>
          <w:rFonts w:hint="eastAsia" w:ascii="Times New Roman" w:hAnsi="Times New Roman" w:eastAsia="仿宋"/>
          <w:sz w:val="24"/>
          <w:szCs w:val="24"/>
        </w:rPr>
      </w:pPr>
      <w:r>
        <w:rPr>
          <w:rFonts w:hint="eastAsia" w:ascii="Times New Roman" w:hAnsi="Times New Roman" w:eastAsia="仿宋"/>
          <w:sz w:val="24"/>
          <w:szCs w:val="24"/>
        </w:rPr>
        <w:t>This course is designed to teach students the basics of EU financial integration,the theory of financial regulation, the principle of prudential supervision, and the concept of crisis management.</w:t>
      </w:r>
    </w:p>
    <w:p w14:paraId="07A9B25F">
      <w:pPr>
        <w:rPr>
          <w:rFonts w:hint="eastAsia" w:ascii="Times New Roman" w:hAnsi="Times New Roman" w:eastAsia="仿宋"/>
          <w:sz w:val="24"/>
          <w:szCs w:val="24"/>
        </w:rPr>
      </w:pPr>
    </w:p>
    <w:p w14:paraId="77DC5923">
      <w:pPr>
        <w:rPr>
          <w:rFonts w:hint="eastAsia" w:ascii="Times New Roman" w:hAnsi="Times New Roman" w:eastAsia="仿宋"/>
          <w:sz w:val="24"/>
          <w:szCs w:val="24"/>
          <w:lang w:val="en-US" w:eastAsia="zh-CN"/>
        </w:rPr>
      </w:pPr>
      <w:r>
        <w:rPr>
          <w:rFonts w:hint="eastAsia" w:ascii="Times New Roman" w:hAnsi="Times New Roman" w:eastAsia="仿宋"/>
          <w:b/>
          <w:bCs/>
          <w:sz w:val="24"/>
          <w:szCs w:val="24"/>
          <w:lang w:val="en-US" w:eastAsia="zh-CN"/>
        </w:rPr>
        <w:t xml:space="preserve">Teacher: </w:t>
      </w:r>
      <w:r>
        <w:rPr>
          <w:rFonts w:hint="eastAsia" w:ascii="Times New Roman" w:hAnsi="Times New Roman" w:eastAsia="仿宋"/>
          <w:sz w:val="24"/>
          <w:szCs w:val="24"/>
        </w:rPr>
        <w:t>Concetta Brescia Morra</w:t>
      </w:r>
      <w:r>
        <w:rPr>
          <w:rFonts w:hint="eastAsia" w:ascii="Times New Roman" w:hAnsi="Times New Roman" w:eastAsia="仿宋"/>
          <w:sz w:val="24"/>
          <w:szCs w:val="24"/>
          <w:lang w:val="en-US" w:eastAsia="zh-CN"/>
        </w:rPr>
        <w:t xml:space="preserve">, </w:t>
      </w:r>
      <w:r>
        <w:rPr>
          <w:rFonts w:hint="eastAsia" w:ascii="Times New Roman" w:hAnsi="Times New Roman" w:eastAsia="仿宋"/>
          <w:sz w:val="24"/>
          <w:szCs w:val="24"/>
        </w:rPr>
        <w:t>University Roma Tre</w:t>
      </w:r>
      <w:r>
        <w:rPr>
          <w:rFonts w:hint="eastAsia" w:ascii="Times New Roman" w:hAnsi="Times New Roman" w:eastAsia="仿宋"/>
          <w:sz w:val="24"/>
          <w:szCs w:val="24"/>
          <w:lang w:val="en-US" w:eastAsia="zh-CN"/>
        </w:rPr>
        <w:t>, Italy</w:t>
      </w:r>
    </w:p>
    <w:p w14:paraId="61F2EABE">
      <w:pPr>
        <w:numPr>
          <w:ilvl w:val="0"/>
          <w:numId w:val="0"/>
        </w:numPr>
        <w:ind w:leftChars="0"/>
        <w:rPr>
          <w:rFonts w:hint="default" w:ascii="Times New Roman" w:hAnsi="Times New Roman" w:eastAsia="仿宋"/>
          <w:sz w:val="24"/>
          <w:szCs w:val="24"/>
          <w:lang w:val="en-US" w:eastAsia="zh-CN"/>
        </w:rPr>
      </w:pPr>
    </w:p>
    <w:p w14:paraId="70396C3D">
      <w:pPr>
        <w:numPr>
          <w:ilvl w:val="0"/>
          <w:numId w:val="0"/>
        </w:numPr>
        <w:ind w:leftChars="0"/>
        <w:rPr>
          <w:rFonts w:hint="default" w:ascii="Times New Roman" w:hAnsi="Times New Roman" w:eastAsia="仿宋"/>
          <w:sz w:val="24"/>
          <w:szCs w:val="24"/>
          <w:lang w:val="en-US" w:eastAsia="zh-CN"/>
        </w:rPr>
      </w:pPr>
    </w:p>
    <w:p w14:paraId="0A86B45C">
      <w:pPr>
        <w:rPr>
          <w:rFonts w:hint="default" w:ascii="Times New Roman" w:hAnsi="Times New Roman" w:eastAsia="仿宋"/>
          <w:b/>
          <w:bCs/>
          <w:i/>
          <w:iCs/>
          <w:sz w:val="24"/>
          <w:szCs w:val="24"/>
          <w:lang w:val="en-US" w:eastAsia="zh-CN"/>
        </w:rPr>
      </w:pPr>
      <w:r>
        <w:rPr>
          <w:rFonts w:hint="eastAsia" w:ascii="Times New Roman" w:hAnsi="Times New Roman" w:eastAsia="仿宋"/>
          <w:b/>
          <w:bCs/>
          <w:i/>
          <w:iCs/>
          <w:sz w:val="24"/>
          <w:szCs w:val="24"/>
          <w:lang w:val="en-US" w:eastAsia="zh-CN"/>
        </w:rPr>
        <w:t xml:space="preserve">4. Introduction to Media Management </w:t>
      </w:r>
    </w:p>
    <w:p w14:paraId="38B777D4">
      <w:pPr>
        <w:rPr>
          <w:rFonts w:hint="eastAsia" w:ascii="Times New Roman" w:hAnsi="Times New Roman" w:eastAsia="仿宋"/>
          <w:b/>
          <w:bCs/>
          <w:sz w:val="24"/>
          <w:szCs w:val="24"/>
        </w:rPr>
      </w:pPr>
    </w:p>
    <w:p w14:paraId="26EFFE64">
      <w:pPr>
        <w:rPr>
          <w:rFonts w:hint="eastAsia" w:ascii="Times New Roman" w:hAnsi="Times New Roman" w:eastAsia="仿宋"/>
          <w:sz w:val="24"/>
          <w:szCs w:val="24"/>
        </w:rPr>
      </w:pPr>
      <w:r>
        <w:rPr>
          <w:rFonts w:hint="eastAsia" w:ascii="Times New Roman" w:hAnsi="Times New Roman" w:eastAsia="仿宋"/>
          <w:b/>
          <w:bCs/>
          <w:sz w:val="24"/>
          <w:szCs w:val="24"/>
        </w:rPr>
        <w:t>Course Brief:</w:t>
      </w:r>
      <w:r>
        <w:rPr>
          <w:rFonts w:hint="eastAsia" w:ascii="Times New Roman" w:hAnsi="Times New Roman" w:eastAsia="仿宋"/>
          <w:sz w:val="24"/>
          <w:szCs w:val="24"/>
        </w:rPr>
        <w:t xml:space="preserve"> </w:t>
      </w:r>
    </w:p>
    <w:p w14:paraId="01D1E017">
      <w:pPr>
        <w:rPr>
          <w:rFonts w:hint="eastAsia" w:ascii="Times New Roman" w:hAnsi="Times New Roman" w:eastAsia="仿宋"/>
          <w:sz w:val="24"/>
          <w:szCs w:val="24"/>
        </w:rPr>
      </w:pPr>
      <w:r>
        <w:rPr>
          <w:rFonts w:ascii="Times New Roman" w:hAnsi="Times New Roman" w:eastAsia="仿宋"/>
          <w:sz w:val="24"/>
          <w:szCs w:val="24"/>
        </w:rPr>
        <w:t>"</w:t>
      </w:r>
      <w:r>
        <w:rPr>
          <w:rFonts w:hint="eastAsia" w:ascii="Times New Roman" w:hAnsi="Times New Roman" w:eastAsia="仿宋"/>
          <w:sz w:val="24"/>
          <w:szCs w:val="24"/>
        </w:rPr>
        <w:t>Introduction to Media Management</w:t>
      </w:r>
      <w:r>
        <w:rPr>
          <w:rFonts w:ascii="Times New Roman" w:hAnsi="Times New Roman" w:eastAsia="仿宋"/>
          <w:sz w:val="24"/>
          <w:szCs w:val="24"/>
        </w:rPr>
        <w:t>"</w:t>
      </w:r>
      <w:r>
        <w:rPr>
          <w:rFonts w:hint="eastAsia" w:ascii="Times New Roman" w:hAnsi="Times New Roman" w:eastAsia="仿宋"/>
          <w:sz w:val="24"/>
          <w:szCs w:val="24"/>
        </w:rPr>
        <w:t xml:space="preserve"> is a specialized course designed for undergraduate students in their second to fourth years, aiming to help them master the core theories and practical applications of media management in an era of transformation. The course focuses on the challenges posed by political, economic, and technological changes to social media management, systematically exploring the operational logic of the global media industry</w:t>
      </w:r>
      <w:r>
        <w:rPr>
          <w:rFonts w:hint="eastAsia" w:ascii="仿宋" w:hAnsi="仿宋" w:eastAsia="仿宋"/>
          <w:sz w:val="24"/>
          <w:szCs w:val="24"/>
        </w:rPr>
        <w:t>—</w:t>
      </w:r>
      <w:r>
        <w:rPr>
          <w:rFonts w:hint="eastAsia" w:ascii="Times New Roman" w:hAnsi="Times New Roman" w:eastAsia="仿宋"/>
          <w:sz w:val="24"/>
          <w:szCs w:val="24"/>
        </w:rPr>
        <w:t>with a particular emphasis on China</w:t>
      </w:r>
      <w:r>
        <w:rPr>
          <w:rFonts w:hint="eastAsia" w:ascii="仿宋" w:hAnsi="仿宋" w:eastAsia="仿宋"/>
          <w:sz w:val="24"/>
          <w:szCs w:val="24"/>
        </w:rPr>
        <w:t>—</w:t>
      </w:r>
      <w:r>
        <w:rPr>
          <w:rFonts w:hint="eastAsia" w:ascii="Times New Roman" w:hAnsi="Times New Roman" w:eastAsia="仿宋"/>
          <w:sz w:val="24"/>
          <w:szCs w:val="24"/>
        </w:rPr>
        <w:t>through a combination of theoretical lectures and case studies. The curriculum fundamental principles of media management, market analysis and branding strategies, strategic management and organizational change, content production processes, media platform operations, human resource management, and business model innovation, offering a balanced blend of theoretical depth and practical orientation. Through this course, students will develop the ability to identify the foundational principles of media management, understand the organizational structures of news media, public relations, and advertising agencies, and analyze phenomena within the media industry while articulating professional perspectives. The course emphasizes the cultivation of critical thinking and practical application skills, equipping students with the tools to navigate real-world challenges. Whether students aspire to pursue careers in the media industry or delve deeper into academic research on media management, this course will lay a solid professional foundation for their future endeavors.</w:t>
      </w:r>
    </w:p>
    <w:p w14:paraId="60B2A6A9">
      <w:pPr>
        <w:rPr>
          <w:rFonts w:hint="eastAsia" w:ascii="Times New Roman" w:hAnsi="Times New Roman" w:eastAsia="仿宋"/>
          <w:sz w:val="24"/>
          <w:szCs w:val="24"/>
        </w:rPr>
      </w:pPr>
    </w:p>
    <w:p w14:paraId="3E3B21B3">
      <w:pPr>
        <w:autoSpaceDE w:val="0"/>
        <w:rPr>
          <w:rFonts w:hint="eastAsia" w:ascii="Times New Roman" w:hAnsi="Times New Roman" w:eastAsia="仿宋"/>
          <w:sz w:val="24"/>
          <w:szCs w:val="24"/>
          <w:lang w:val="en-US" w:eastAsia="zh-CN"/>
        </w:rPr>
      </w:pPr>
      <w:r>
        <w:rPr>
          <w:rFonts w:hint="eastAsia" w:ascii="Times New Roman" w:hAnsi="Times New Roman" w:eastAsia="仿宋"/>
          <w:b/>
          <w:bCs/>
          <w:sz w:val="24"/>
          <w:szCs w:val="24"/>
          <w:lang w:val="en-US" w:eastAsia="zh-CN"/>
        </w:rPr>
        <w:t xml:space="preserve">Teacher: </w:t>
      </w:r>
      <w:r>
        <w:rPr>
          <w:rFonts w:hint="eastAsia" w:ascii="Times New Roman" w:hAnsi="Times New Roman" w:eastAsia="仿宋"/>
          <w:sz w:val="24"/>
          <w:szCs w:val="24"/>
          <w:lang w:val="en-US" w:eastAsia="zh-CN"/>
        </w:rPr>
        <w:t>Raymond Li, Hong Kong Baptist University</w:t>
      </w:r>
      <w:r>
        <w:rPr>
          <w:rFonts w:hint="eastAsia" w:ascii="仿宋" w:hAnsi="仿宋" w:eastAsia="仿宋"/>
          <w:sz w:val="24"/>
          <w:szCs w:val="24"/>
          <w:lang w:val="en-US" w:eastAsia="zh-CN"/>
        </w:rPr>
        <w:t xml:space="preserve"> </w:t>
      </w:r>
    </w:p>
    <w:p w14:paraId="69528FF0">
      <w:pPr>
        <w:spacing w:line="480" w:lineRule="auto"/>
        <w:rPr>
          <w:rFonts w:hint="eastAsia"/>
        </w:rPr>
      </w:pPr>
    </w:p>
    <w:p w14:paraId="390EF338">
      <w:pPr>
        <w:numPr>
          <w:ilvl w:val="0"/>
          <w:numId w:val="3"/>
        </w:numPr>
        <w:rPr>
          <w:rFonts w:hint="eastAsia" w:ascii="Times New Roman" w:hAnsi="Times New Roman" w:eastAsia="仿宋"/>
          <w:b/>
          <w:bCs/>
          <w:i/>
          <w:iCs/>
          <w:sz w:val="24"/>
          <w:szCs w:val="24"/>
        </w:rPr>
      </w:pPr>
      <w:r>
        <w:rPr>
          <w:rFonts w:hint="eastAsia" w:ascii="Times New Roman" w:hAnsi="Times New Roman" w:eastAsia="仿宋"/>
          <w:b/>
          <w:bCs/>
          <w:i/>
          <w:iCs/>
          <w:sz w:val="24"/>
          <w:szCs w:val="24"/>
          <w:lang w:val="en-US" w:eastAsia="zh-CN"/>
        </w:rPr>
        <w:t>International Data Law</w:t>
      </w:r>
    </w:p>
    <w:p w14:paraId="22F69D0B">
      <w:pPr>
        <w:autoSpaceDE w:val="0"/>
        <w:ind w:firstLine="482" w:firstLineChars="200"/>
        <w:rPr>
          <w:rFonts w:hint="eastAsia" w:ascii="Times New Roman" w:hAnsi="Times New Roman" w:eastAsia="仿宋"/>
          <w:sz w:val="24"/>
          <w:szCs w:val="24"/>
          <w:lang w:eastAsia="zh-CN"/>
        </w:rPr>
      </w:pPr>
      <w:r>
        <w:rPr>
          <w:rFonts w:hint="eastAsia" w:ascii="仿宋" w:hAnsi="仿宋" w:eastAsia="仿宋"/>
          <w:b/>
          <w:bCs/>
          <w:sz w:val="24"/>
          <w:szCs w:val="24"/>
          <w:lang w:val="en-US" w:eastAsia="zh-CN"/>
        </w:rPr>
        <w:t xml:space="preserve"> </w:t>
      </w:r>
    </w:p>
    <w:p w14:paraId="0A6E0BCE">
      <w:pPr>
        <w:rPr>
          <w:rFonts w:hint="eastAsia" w:ascii="Times New Roman" w:hAnsi="Times New Roman" w:eastAsia="仿宋"/>
          <w:b/>
          <w:bCs/>
          <w:sz w:val="24"/>
          <w:szCs w:val="24"/>
        </w:rPr>
      </w:pPr>
      <w:r>
        <w:rPr>
          <w:rFonts w:ascii="Times New Roman" w:hAnsi="Times New Roman" w:eastAsia="仿宋"/>
          <w:b/>
          <w:bCs/>
          <w:sz w:val="24"/>
          <w:szCs w:val="24"/>
        </w:rPr>
        <w:t>Course Brief</w:t>
      </w:r>
      <w:r>
        <w:rPr>
          <w:rFonts w:hint="eastAsia" w:ascii="Times New Roman" w:hAnsi="Times New Roman" w:eastAsia="仿宋"/>
          <w:b/>
          <w:bCs/>
          <w:sz w:val="24"/>
          <w:szCs w:val="24"/>
        </w:rPr>
        <w:t xml:space="preserve">: </w:t>
      </w:r>
    </w:p>
    <w:p w14:paraId="0FDB1263">
      <w:pPr>
        <w:rPr>
          <w:rFonts w:hint="eastAsia" w:ascii="Times New Roman" w:hAnsi="Times New Roman" w:eastAsia="仿宋"/>
          <w:sz w:val="24"/>
          <w:szCs w:val="24"/>
        </w:rPr>
      </w:pPr>
      <w:r>
        <w:rPr>
          <w:rFonts w:ascii="Times New Roman" w:hAnsi="Times New Roman" w:eastAsia="仿宋"/>
          <w:sz w:val="24"/>
          <w:szCs w:val="24"/>
        </w:rPr>
        <w:t>This course seeks to help students understand the role data plays in business models and strategies, to introduce them to how law and regulation regards data and big data, and to link students with recent national and international developments around data regulations. The course will explore industries like AI, Blockchain, and Fintech, and it will also encourage students to use data in their studies and careers, and will show them basic applications of data in legal scholarship. By the end of the course, students will be able to:</w:t>
      </w:r>
    </w:p>
    <w:p w14:paraId="4A03F203">
      <w:pPr>
        <w:rPr>
          <w:rFonts w:ascii="Times New Roman" w:hAnsi="Times New Roman" w:eastAsia="仿宋"/>
          <w:sz w:val="24"/>
          <w:szCs w:val="24"/>
        </w:rPr>
      </w:pPr>
      <w:r>
        <w:rPr>
          <w:rFonts w:ascii="Times New Roman" w:hAnsi="Times New Roman" w:eastAsia="仿宋"/>
          <w:sz w:val="24"/>
          <w:szCs w:val="24"/>
        </w:rPr>
        <w:t>(1)</w:t>
      </w:r>
      <w:r>
        <w:rPr>
          <w:rFonts w:ascii="Times New Roman" w:hAnsi="Times New Roman" w:eastAsia="仿宋"/>
          <w:sz w:val="24"/>
          <w:szCs w:val="24"/>
        </w:rPr>
        <w:tab/>
      </w:r>
      <w:r>
        <w:rPr>
          <w:rFonts w:ascii="Times New Roman" w:hAnsi="Times New Roman" w:eastAsia="仿宋"/>
          <w:sz w:val="24"/>
          <w:szCs w:val="24"/>
        </w:rPr>
        <w:t xml:space="preserve">appreciate the technical, economic, and legal significance and complications of data, </w:t>
      </w:r>
    </w:p>
    <w:p w14:paraId="4351660E">
      <w:pPr>
        <w:rPr>
          <w:rFonts w:ascii="Times New Roman" w:hAnsi="Times New Roman" w:eastAsia="仿宋"/>
          <w:sz w:val="24"/>
          <w:szCs w:val="24"/>
        </w:rPr>
      </w:pPr>
      <w:r>
        <w:rPr>
          <w:rFonts w:ascii="Times New Roman" w:hAnsi="Times New Roman" w:eastAsia="仿宋"/>
          <w:sz w:val="24"/>
          <w:szCs w:val="24"/>
        </w:rPr>
        <w:t>(2)</w:t>
      </w:r>
      <w:r>
        <w:rPr>
          <w:rFonts w:ascii="Times New Roman" w:hAnsi="Times New Roman" w:eastAsia="仿宋"/>
          <w:sz w:val="24"/>
          <w:szCs w:val="24"/>
        </w:rPr>
        <w:tab/>
      </w:r>
      <w:r>
        <w:rPr>
          <w:rFonts w:ascii="Times New Roman" w:hAnsi="Times New Roman" w:eastAsia="仿宋"/>
          <w:sz w:val="24"/>
          <w:szCs w:val="24"/>
        </w:rPr>
        <w:t xml:space="preserve">understand the basic structure of AI, Blockchain, and Fintech markets, </w:t>
      </w:r>
    </w:p>
    <w:p w14:paraId="6FC0DD15">
      <w:pPr>
        <w:rPr>
          <w:rFonts w:ascii="Times New Roman" w:hAnsi="Times New Roman" w:eastAsia="仿宋"/>
          <w:sz w:val="24"/>
          <w:szCs w:val="24"/>
        </w:rPr>
      </w:pPr>
      <w:r>
        <w:rPr>
          <w:rFonts w:ascii="Times New Roman" w:hAnsi="Times New Roman" w:eastAsia="仿宋"/>
          <w:sz w:val="24"/>
          <w:szCs w:val="24"/>
        </w:rPr>
        <w:t>(3)</w:t>
      </w:r>
      <w:r>
        <w:rPr>
          <w:rFonts w:ascii="Times New Roman" w:hAnsi="Times New Roman" w:eastAsia="仿宋"/>
          <w:sz w:val="24"/>
          <w:szCs w:val="24"/>
        </w:rPr>
        <w:tab/>
      </w:r>
      <w:r>
        <w:rPr>
          <w:rFonts w:ascii="Times New Roman" w:hAnsi="Times New Roman" w:eastAsia="仿宋"/>
          <w:sz w:val="24"/>
          <w:szCs w:val="24"/>
        </w:rPr>
        <w:t xml:space="preserve">know about recent EU/US/Chinese regulations and major cases that address data issues, </w:t>
      </w:r>
    </w:p>
    <w:p w14:paraId="6BC9B69E">
      <w:pPr>
        <w:rPr>
          <w:rFonts w:ascii="Times New Roman" w:hAnsi="Times New Roman" w:eastAsia="仿宋"/>
          <w:sz w:val="24"/>
          <w:szCs w:val="24"/>
        </w:rPr>
      </w:pPr>
      <w:r>
        <w:rPr>
          <w:rFonts w:ascii="Times New Roman" w:hAnsi="Times New Roman" w:eastAsia="仿宋"/>
          <w:sz w:val="24"/>
          <w:szCs w:val="24"/>
        </w:rPr>
        <w:t>(4)</w:t>
      </w:r>
      <w:r>
        <w:rPr>
          <w:rFonts w:ascii="Times New Roman" w:hAnsi="Times New Roman" w:eastAsia="仿宋"/>
          <w:sz w:val="24"/>
          <w:szCs w:val="24"/>
        </w:rPr>
        <w:tab/>
      </w:r>
      <w:r>
        <w:rPr>
          <w:rFonts w:ascii="Times New Roman" w:hAnsi="Times New Roman" w:eastAsia="仿宋"/>
          <w:sz w:val="24"/>
          <w:szCs w:val="24"/>
        </w:rPr>
        <w:t>discover interesting sources from where to learn.</w:t>
      </w:r>
    </w:p>
    <w:p w14:paraId="7F2505C9">
      <w:pPr>
        <w:rPr>
          <w:rFonts w:hint="eastAsia" w:ascii="仿宋" w:hAnsi="仿宋" w:eastAsia="仿宋"/>
          <w:b/>
          <w:bCs/>
          <w:sz w:val="24"/>
          <w:szCs w:val="24"/>
        </w:rPr>
      </w:pPr>
    </w:p>
    <w:p w14:paraId="33997E80">
      <w:pPr>
        <w:rPr>
          <w:rFonts w:hint="default" w:ascii="Times New Roman" w:hAnsi="Times New Roman" w:eastAsia="仿宋"/>
          <w:sz w:val="24"/>
          <w:szCs w:val="24"/>
          <w:lang w:val="en-US" w:eastAsia="zh-CN"/>
        </w:rPr>
      </w:pPr>
      <w:r>
        <w:rPr>
          <w:rFonts w:hint="eastAsia" w:ascii="Times New Roman" w:hAnsi="Times New Roman" w:eastAsia="仿宋"/>
          <w:b/>
          <w:bCs/>
          <w:sz w:val="24"/>
          <w:szCs w:val="24"/>
          <w:lang w:val="en-US" w:eastAsia="zh-CN"/>
        </w:rPr>
        <w:t>Teacher：</w:t>
      </w:r>
      <w:r>
        <w:rPr>
          <w:rFonts w:ascii="Times New Roman" w:hAnsi="Times New Roman" w:eastAsia="仿宋"/>
          <w:sz w:val="24"/>
          <w:szCs w:val="24"/>
        </w:rPr>
        <w:t>Konstantinos Stylianou</w:t>
      </w:r>
      <w:r>
        <w:rPr>
          <w:rFonts w:hint="eastAsia" w:ascii="Times New Roman" w:hAnsi="Times New Roman" w:eastAsia="仿宋"/>
          <w:sz w:val="24"/>
          <w:szCs w:val="24"/>
          <w:lang w:val="en-US" w:eastAsia="zh-CN"/>
        </w:rPr>
        <w:t xml:space="preserve">, </w:t>
      </w:r>
      <w:r>
        <w:rPr>
          <w:rFonts w:ascii="Times New Roman" w:hAnsi="Times New Roman" w:eastAsia="仿宋"/>
          <w:sz w:val="24"/>
          <w:szCs w:val="24"/>
        </w:rPr>
        <w:t>University of Glasgow</w:t>
      </w:r>
      <w:r>
        <w:rPr>
          <w:rFonts w:hint="eastAsia" w:ascii="Times New Roman" w:hAnsi="Times New Roman" w:eastAsia="仿宋"/>
          <w:sz w:val="24"/>
          <w:szCs w:val="24"/>
          <w:lang w:val="en-US" w:eastAsia="zh-CN"/>
        </w:rPr>
        <w:t>, UK</w:t>
      </w:r>
    </w:p>
    <w:p w14:paraId="3A0500F6">
      <w:pPr>
        <w:ind w:firstLine="482" w:firstLineChars="200"/>
        <w:rPr>
          <w:rFonts w:hint="eastAsia" w:eastAsia="宋体"/>
          <w:lang w:val="en-US" w:eastAsia="zh-CN"/>
        </w:rPr>
      </w:pPr>
      <w:r>
        <w:rPr>
          <w:rFonts w:hint="eastAsia" w:ascii="仿宋" w:hAnsi="仿宋" w:eastAsia="仿宋"/>
          <w:b/>
          <w:bCs/>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仿宋">
    <w:altName w:val="仿宋-简"/>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仿宋-简">
    <w:panose1 w:val="02010609060101010101"/>
    <w:charset w:val="86"/>
    <w:family w:val="auto"/>
    <w:pitch w:val="default"/>
    <w:sig w:usb0="A00002BF" w:usb1="3ACF7CFA" w:usb2="00000016" w:usb3="00000000" w:csb0="00040001"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等线 Light">
    <w:altName w:val="汉仪中等线KW"/>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1C086A"/>
    <w:multiLevelType w:val="singleLevel"/>
    <w:tmpl w:val="EB1C086A"/>
    <w:lvl w:ilvl="0" w:tentative="0">
      <w:start w:val="2"/>
      <w:numFmt w:val="decimal"/>
      <w:suff w:val="space"/>
      <w:lvlText w:val="%1."/>
      <w:lvlJc w:val="left"/>
    </w:lvl>
  </w:abstractNum>
  <w:abstractNum w:abstractNumId="1">
    <w:nsid w:val="F4885FB2"/>
    <w:multiLevelType w:val="singleLevel"/>
    <w:tmpl w:val="F4885FB2"/>
    <w:lvl w:ilvl="0" w:tentative="0">
      <w:start w:val="1"/>
      <w:numFmt w:val="decimal"/>
      <w:suff w:val="space"/>
      <w:lvlText w:val="%1."/>
      <w:lvlJc w:val="left"/>
    </w:lvl>
  </w:abstractNum>
  <w:abstractNum w:abstractNumId="2">
    <w:nsid w:val="5601675C"/>
    <w:multiLevelType w:val="singleLevel"/>
    <w:tmpl w:val="5601675C"/>
    <w:lvl w:ilvl="0" w:tentative="0">
      <w:start w:val="5"/>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292"/>
    <w:rsid w:val="00113D88"/>
    <w:rsid w:val="003D5A88"/>
    <w:rsid w:val="008B7292"/>
    <w:rsid w:val="00FA36FB"/>
    <w:rsid w:val="03B65EAC"/>
    <w:rsid w:val="04165FD2"/>
    <w:rsid w:val="1C2F6978"/>
    <w:rsid w:val="254479BB"/>
    <w:rsid w:val="4C1E06B7"/>
    <w:rsid w:val="4C7B0D3F"/>
    <w:rsid w:val="58CD1672"/>
    <w:rsid w:val="61315490"/>
    <w:rsid w:val="6ACD1282"/>
    <w:rsid w:val="6F7253F9"/>
    <w:rsid w:val="7FBF2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1"/>
      <w:lang w:val="en-US" w:eastAsia="zh-CN" w:bidi="ar-SA"/>
      <w14:ligatures w14:val="none"/>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qFormat/>
    <w:uiPriority w:val="0"/>
    <w:rPr>
      <w:sz w:val="24"/>
      <w:szCs w:val="24"/>
    </w:rPr>
  </w:style>
  <w:style w:type="paragraph" w:styleId="13">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3"/>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932</Words>
  <Characters>5620</Characters>
  <Lines>72</Lines>
  <Paragraphs>20</Paragraphs>
  <TotalTime>6</TotalTime>
  <ScaleCrop>false</ScaleCrop>
  <LinksUpToDate>false</LinksUpToDate>
  <CharactersWithSpaces>6529</CharactersWithSpaces>
  <Application>WPS Office_12.1.25867.25867_F1E327BC-269C-435d-A152-05C5408002CA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2026-04-29T17:49:00Z</dcterms:created>
  <dc:creator>Giorgia</dc:creator>
  <cp:lastModifiedBy>dorisdeng</cp:lastModifiedBy>
  <dcterms:modified xsi:type="dcterms:W3CDTF">2026-05-01T14:48:25Z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2052-12.1.25867.25867</vt:lpwstr>
  </property>
  <property fmtid="{D5CDD505-2E9C-101B-9397-08002B2CF9AE}" pid="3" name="ICV">
    <vt:lpwstr>2B850E3C41DE9565B94CF469F873A7F7_43</vt:lpwstr>
  </property>
  <property fmtid="{D5CDD505-2E9C-101B-9397-08002B2CF9AE}" pid="4" name="KSOTemplateDocerSaveRecord">
    <vt:lpwstr>eyJoZGlkIjoiZGMwM2NhNzVlMTkyOGU5YWY3M2QyM2NmY2RkMmUyNTAiLCJ1c2VySWQiOiI0NTIzNTI5NDgifQ==</vt:lpwstr>
  </property>
</Properties>
</file>